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t xml:space="preserve"> </w:t>
      </w: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r>
        <w:t xml:space="preserve"> </w:t>
      </w:r>
    </w:p>
    <w:p>
      <w:pPr>
        <w:spacing w:after="0" w:line="240" w:lineRule="auto"/>
        <w:jc w:val="right"/>
        <w:rPr>
          <w:rFonts w:ascii="Segoe UI" w:hAnsi="Segoe UI" w:cs="Segoe UI"/>
          <w:b/>
          <w:sz w:val="32"/>
          <w:szCs w:val="32"/>
        </w:rPr>
      </w:pPr>
      <w:r>
        <w:t xml:space="preserve">         </w:t>
      </w:r>
      <w:r>
        <w:rPr>
          <w:rFonts w:ascii="Segoe UI" w:hAnsi="Segoe UI" w:cs="Segoe UI"/>
          <w:b/>
          <w:sz w:val="32"/>
          <w:szCs w:val="32"/>
        </w:rPr>
        <w:t>ПРЕСС-РЕЛИЗ</w:t>
      </w:r>
    </w:p>
    <w:p>
      <w:pPr>
        <w:spacing w:after="0" w:line="240" w:lineRule="auto"/>
        <w:jc w:val="right"/>
        <w:rPr>
          <w:rFonts w:ascii="Segoe UI" w:hAnsi="Segoe UI" w:cs="Segoe UI"/>
          <w:b/>
          <w:sz w:val="24"/>
          <w:szCs w:val="24"/>
        </w:rPr>
      </w:pPr>
      <w:r>
        <w:rPr>
          <w:rFonts w:ascii="Segoe UI" w:hAnsi="Segoe UI" w:cs="Segoe UI"/>
          <w:b/>
          <w:sz w:val="24"/>
          <w:szCs w:val="24"/>
        </w:rPr>
        <w:t>09 ноября 2020</w:t>
      </w:r>
    </w:p>
    <w:p>
      <w:pPr>
        <w:spacing w:after="0" w:line="240" w:lineRule="auto"/>
        <w:jc w:val="right"/>
        <w:rPr>
          <w:rFonts w:ascii="Segoe UI" w:hAnsi="Segoe UI" w:cs="Segoe UI"/>
          <w:b/>
          <w:sz w:val="24"/>
          <w:szCs w:val="24"/>
        </w:rPr>
      </w:pPr>
    </w:p>
    <w:p>
      <w:pPr>
        <w:jc w:val="center"/>
        <w:rPr>
          <w:rFonts w:ascii="Segoe UI" w:hAnsi="Segoe UI" w:cs="Segoe UI"/>
          <w:b/>
          <w:sz w:val="28"/>
          <w:szCs w:val="28"/>
          <w:lang w:val="en-US"/>
        </w:rPr>
      </w:pPr>
      <w:r>
        <w:rPr>
          <w:rFonts w:ascii="Segoe UI" w:hAnsi="Segoe UI" w:cs="Segoe UI"/>
          <w:b/>
          <w:sz w:val="28"/>
          <w:szCs w:val="28"/>
        </w:rPr>
        <w:t>Как вернуть ошибочно уплаченные деньги за выписку из ЕГРН</w:t>
      </w:r>
    </w:p>
    <w:p>
      <w:pPr>
        <w:jc w:val="both"/>
        <w:rPr>
          <w:rFonts w:ascii="Segoe UI" w:hAnsi="Segoe UI" w:cs="Segoe UI"/>
          <w:sz w:val="24"/>
          <w:szCs w:val="24"/>
        </w:rPr>
      </w:pPr>
      <w:r>
        <w:rPr>
          <w:rFonts w:ascii="Segoe UI" w:hAnsi="Segoe UI" w:cs="Segoe UI"/>
          <w:sz w:val="28"/>
          <w:szCs w:val="28"/>
        </w:rPr>
        <w:tab/>
      </w:r>
      <w:r>
        <w:rPr>
          <w:rFonts w:ascii="Segoe UI" w:hAnsi="Segoe UI" w:cs="Segoe UI"/>
          <w:sz w:val="24"/>
          <w:szCs w:val="24"/>
        </w:rPr>
        <w:t xml:space="preserve">Чтобы снизить риск возникновения спорных ситуаций после сделки покупатели недвижимости в Самарской области </w:t>
      </w:r>
      <w:r>
        <w:rPr>
          <w:rFonts w:ascii="Segoe UI" w:hAnsi="Segoe UI" w:cs="Segoe UI"/>
          <w:color w:val="000000" w:themeColor="text1"/>
          <w:sz w:val="24"/>
          <w:szCs w:val="24"/>
        </w:rPr>
        <w:t>заранее</w:t>
      </w:r>
      <w:r>
        <w:rPr>
          <w:rFonts w:ascii="Segoe UI" w:hAnsi="Segoe UI" w:cs="Segoe UI"/>
          <w:sz w:val="24"/>
          <w:szCs w:val="24"/>
        </w:rPr>
        <w:t xml:space="preserve"> заказывают выписки из Единого государственного реестра недвижимости (ЕГРН). В выписке указаны основные данные об объекте, поэтому она помогает удостовериться, что недвижимое имущество продает собственник (а не посторонний человек, не имеющий на это права), что объект не находится под арестом или в залоге. Заказывая выписку, важно правильно указать код платежа. О трех возможных кодах платежа и о возврате </w:t>
      </w:r>
      <w:r>
        <w:rPr>
          <w:rFonts w:ascii="Segoe UI" w:hAnsi="Segoe UI" w:cs="Segoe UI"/>
          <w:color w:val="000000" w:themeColor="text1"/>
          <w:sz w:val="24"/>
          <w:szCs w:val="24"/>
        </w:rPr>
        <w:t>ошибочно</w:t>
      </w:r>
      <w:r>
        <w:rPr>
          <w:rFonts w:ascii="Segoe UI" w:hAnsi="Segoe UI" w:cs="Segoe UI"/>
          <w:sz w:val="24"/>
          <w:szCs w:val="24"/>
        </w:rPr>
        <w:t xml:space="preserve"> отправленной платы, рассказала начальник администрирования доходов Управления Росреестра по Самарской области </w:t>
      </w:r>
      <w:r>
        <w:rPr>
          <w:rFonts w:ascii="Segoe UI" w:hAnsi="Segoe UI" w:cs="Segoe UI"/>
          <w:b/>
          <w:sz w:val="24"/>
          <w:szCs w:val="24"/>
        </w:rPr>
        <w:t>Ольга Короткова</w:t>
      </w:r>
      <w:r>
        <w:rPr>
          <w:rFonts w:ascii="Segoe UI" w:hAnsi="Segoe UI" w:cs="Segoe UI"/>
          <w:sz w:val="24"/>
          <w:szCs w:val="24"/>
        </w:rPr>
        <w:t xml:space="preserve">. </w:t>
      </w:r>
    </w:p>
    <w:p>
      <w:pPr>
        <w:ind w:firstLine="708"/>
        <w:jc w:val="both"/>
        <w:rPr>
          <w:rFonts w:ascii="Segoe UI" w:hAnsi="Segoe UI" w:cs="Segoe UI"/>
          <w:sz w:val="24"/>
          <w:szCs w:val="24"/>
        </w:rPr>
      </w:pPr>
      <w:r>
        <w:rPr>
          <w:rFonts w:ascii="Segoe UI" w:hAnsi="Segoe UI" w:cs="Segoe UI"/>
          <w:sz w:val="24"/>
          <w:szCs w:val="24"/>
        </w:rPr>
        <w:t xml:space="preserve">Первое правило при оплате выписки из ЕГРН – платит тот, кто подает запрос о предоставлении сведений из ЕГРН. То есть человек или организация должны быть и заявителем, и плательщиком одновременно. Ситуация, когда жена запрашивает выписку из ЕГРН, а муж оплачивает услугу, </w:t>
      </w:r>
      <w:proofErr w:type="gramStart"/>
      <w:r>
        <w:rPr>
          <w:rFonts w:ascii="Segoe UI" w:hAnsi="Segoe UI" w:cs="Segoe UI"/>
          <w:sz w:val="24"/>
          <w:szCs w:val="24"/>
        </w:rPr>
        <w:t>или</w:t>
      </w:r>
      <w:proofErr w:type="gramEnd"/>
      <w:r>
        <w:rPr>
          <w:rFonts w:ascii="Segoe UI" w:hAnsi="Segoe UI" w:cs="Segoe UI"/>
          <w:sz w:val="24"/>
          <w:szCs w:val="24"/>
        </w:rPr>
        <w:t xml:space="preserve"> когда сотрудник подает запрос, а организация перечисляет плату, принесет определенные хлопоты: выписку заявители не получат. Кроме того, надо будет обращаться за возвратом платы. </w:t>
      </w:r>
    </w:p>
    <w:p>
      <w:pPr>
        <w:ind w:firstLine="708"/>
        <w:jc w:val="both"/>
        <w:rPr>
          <w:rFonts w:ascii="Segoe UI" w:hAnsi="Segoe UI" w:cs="Segoe UI"/>
          <w:sz w:val="24"/>
          <w:szCs w:val="24"/>
        </w:rPr>
      </w:pPr>
      <w:r>
        <w:rPr>
          <w:rFonts w:ascii="Segoe UI" w:hAnsi="Segoe UI" w:cs="Segoe UI"/>
          <w:sz w:val="24"/>
          <w:szCs w:val="24"/>
        </w:rPr>
        <w:t>В зависимости от вида и способа запроса при оплате за получение выписки из ЕГРН в платежных документах указываются определенные коды бюджетной классификации (КБК). Как пояснили в Управлении Росреестра, их всего три.</w:t>
      </w:r>
    </w:p>
    <w:p>
      <w:pPr>
        <w:spacing w:after="0" w:line="276" w:lineRule="auto"/>
        <w:jc w:val="both"/>
        <w:rPr>
          <w:rFonts w:ascii="Segoe UI" w:hAnsi="Segoe UI" w:cs="Segoe UI"/>
          <w:sz w:val="24"/>
          <w:szCs w:val="24"/>
        </w:rPr>
      </w:pPr>
      <w:r>
        <w:rPr>
          <w:rFonts w:ascii="Segoe UI" w:hAnsi="Segoe UI" w:cs="Segoe UI"/>
          <w:sz w:val="24"/>
          <w:szCs w:val="24"/>
        </w:rPr>
        <w:t xml:space="preserve">- </w:t>
      </w:r>
      <w:r>
        <w:rPr>
          <w:rFonts w:ascii="Segoe UI" w:hAnsi="Segoe UI" w:cs="Segoe UI"/>
          <w:i/>
          <w:sz w:val="24"/>
          <w:szCs w:val="24"/>
        </w:rPr>
        <w:t xml:space="preserve">Когда заявитель заказывает выписку из ЕГРН через сайт Росреестра или в филиале кадастровой палаты, необходимо указать КБК 32111301031016000130. Если он обращается через многофункциональный центр за сведениями, предоставляемыми филиалом кадастровой палаты, указывается другой КБК – 32111301031016001130. Этот КБК указывается, когда заказываются, например, выписки об объекте недвижимости, об основных характеристиках и зарегистрированных правах на объект недвижимости или о зарегистрированных договорах участия в долевом строительстве и некоторые другие. А вот если через </w:t>
      </w:r>
      <w:r>
        <w:rPr>
          <w:rFonts w:ascii="Segoe UI" w:hAnsi="Segoe UI" w:cs="Segoe UI"/>
          <w:i/>
          <w:sz w:val="24"/>
          <w:szCs w:val="24"/>
        </w:rPr>
        <w:lastRenderedPageBreak/>
        <w:t>МФЦ заказываются сведения, которые предоставляет Управление Росреестра, тогда указывается КБК 32111301031018000130</w:t>
      </w:r>
      <w:r>
        <w:rPr>
          <w:rFonts w:ascii="Segoe UI" w:hAnsi="Segoe UI" w:cs="Segoe UI"/>
          <w:sz w:val="24"/>
          <w:szCs w:val="24"/>
        </w:rPr>
        <w:t xml:space="preserve">. </w:t>
      </w:r>
      <w:proofErr w:type="gramStart"/>
      <w:r>
        <w:rPr>
          <w:rFonts w:ascii="Segoe UI" w:hAnsi="Segoe UI" w:cs="Segoe UI"/>
          <w:i/>
          <w:sz w:val="24"/>
          <w:szCs w:val="24"/>
        </w:rPr>
        <w:t>По этому КБК оплачивается услуга, когда заказывается копия договора, заключенного в простой письменной форме или копия документа, на основании которого сведения об объекте недвижимости внесены в ЕГРН, или выписка о содержании правоустанавливающих документов на объект</w:t>
      </w:r>
      <w:proofErr w:type="gramEnd"/>
      <w:r>
        <w:rPr>
          <w:rFonts w:ascii="Segoe UI" w:hAnsi="Segoe UI" w:cs="Segoe UI"/>
          <w:i/>
          <w:sz w:val="24"/>
          <w:szCs w:val="24"/>
        </w:rPr>
        <w:t>,</w:t>
      </w:r>
      <w:r>
        <w:rPr>
          <w:rFonts w:ascii="Segoe UI" w:hAnsi="Segoe UI" w:cs="Segoe UI"/>
          <w:sz w:val="24"/>
          <w:szCs w:val="24"/>
        </w:rPr>
        <w:t xml:space="preserve"> - говорит Ольга Короткова. </w:t>
      </w:r>
    </w:p>
    <w:p>
      <w:pPr>
        <w:spacing w:after="0" w:line="276" w:lineRule="auto"/>
        <w:jc w:val="both"/>
        <w:rPr>
          <w:rFonts w:ascii="Segoe UI" w:hAnsi="Segoe UI" w:cs="Segoe UI"/>
          <w:sz w:val="24"/>
          <w:szCs w:val="24"/>
        </w:rPr>
      </w:pPr>
      <w:r>
        <w:rPr>
          <w:rFonts w:ascii="Segoe UI" w:hAnsi="Segoe UI" w:cs="Segoe UI"/>
          <w:sz w:val="24"/>
          <w:szCs w:val="24"/>
        </w:rPr>
        <w:tab/>
        <w:t>Если плата за выписку из ЕГРН была внесена ошибочно, деньги можно вернуть. Для этого надо подать заявление о возврате платежа. Вариантов подачи такого заявления несколько:</w:t>
      </w:r>
    </w:p>
    <w:p>
      <w:pPr>
        <w:spacing w:after="0" w:line="276" w:lineRule="auto"/>
        <w:ind w:firstLine="708"/>
        <w:jc w:val="both"/>
        <w:rPr>
          <w:rFonts w:ascii="Segoe UI" w:hAnsi="Segoe UI" w:cs="Segoe UI"/>
          <w:sz w:val="24"/>
          <w:szCs w:val="24"/>
        </w:rPr>
      </w:pPr>
      <w:r>
        <w:rPr>
          <w:rFonts w:ascii="Segoe UI" w:hAnsi="Segoe UI" w:cs="Segoe UI"/>
          <w:sz w:val="24"/>
          <w:szCs w:val="24"/>
        </w:rPr>
        <w:t>- отправить в Управление Росреестра почтовым отправлением по адресу: 443099, г. Самара, ул. Некрасовская, 3;</w:t>
      </w:r>
    </w:p>
    <w:p>
      <w:pPr>
        <w:spacing w:after="0" w:line="276" w:lineRule="auto"/>
        <w:ind w:firstLine="708"/>
        <w:jc w:val="both"/>
        <w:rPr>
          <w:rFonts w:ascii="Segoe UI" w:hAnsi="Segoe UI" w:cs="Segoe UI"/>
          <w:sz w:val="24"/>
          <w:szCs w:val="24"/>
        </w:rPr>
      </w:pPr>
      <w:r>
        <w:rPr>
          <w:rFonts w:ascii="Segoe UI" w:hAnsi="Segoe UI" w:cs="Segoe UI"/>
          <w:sz w:val="24"/>
          <w:szCs w:val="24"/>
        </w:rPr>
        <w:t>- положить в «почтовый бокс» для корреспонденции, действующий на время режима самоизоляции в Управлении Росреестра</w:t>
      </w:r>
      <w:r>
        <w:rPr>
          <w:rFonts w:ascii="Segoe UI" w:hAnsi="Segoe UI" w:cs="Segoe UI"/>
          <w:strike/>
          <w:sz w:val="24"/>
          <w:szCs w:val="24"/>
        </w:rPr>
        <w:t>;</w:t>
      </w:r>
    </w:p>
    <w:p>
      <w:pPr>
        <w:spacing w:after="0" w:line="276" w:lineRule="auto"/>
        <w:ind w:firstLine="708"/>
        <w:jc w:val="both"/>
        <w:rPr>
          <w:rFonts w:ascii="Segoe UI" w:hAnsi="Segoe UI" w:cs="Segoe UI"/>
          <w:sz w:val="24"/>
          <w:szCs w:val="24"/>
        </w:rPr>
      </w:pPr>
      <w:r>
        <w:rPr>
          <w:rFonts w:ascii="Segoe UI" w:hAnsi="Segoe UI" w:cs="Segoe UI"/>
          <w:sz w:val="24"/>
          <w:szCs w:val="24"/>
        </w:rPr>
        <w:t>- передать нарочно в любой территориальный отдел Управления Росреестра либо в отдел администрирования доходов Управления по адресу: г. Самара, ул. Льва Толстого, д. 3, кабинет № 25;</w:t>
      </w:r>
      <w:bookmarkStart w:id="0" w:name="_GoBack"/>
      <w:bookmarkEnd w:id="0"/>
    </w:p>
    <w:p>
      <w:pPr>
        <w:spacing w:after="0" w:line="276" w:lineRule="auto"/>
        <w:ind w:firstLine="708"/>
        <w:jc w:val="both"/>
        <w:rPr>
          <w:rFonts w:ascii="Segoe UI" w:hAnsi="Segoe UI" w:cs="Segoe UI"/>
          <w:sz w:val="24"/>
          <w:szCs w:val="24"/>
        </w:rPr>
      </w:pPr>
      <w:r>
        <w:rPr>
          <w:rFonts w:ascii="Segoe UI" w:hAnsi="Segoe UI" w:cs="Segoe UI"/>
          <w:sz w:val="24"/>
          <w:szCs w:val="24"/>
        </w:rPr>
        <w:t>- отправить в филиал кадастровой палаты по Самарской области почтовым отправлением по адресу: 443020, город Самара, д. 25а, корпус 1;</w:t>
      </w:r>
    </w:p>
    <w:p>
      <w:pPr>
        <w:spacing w:after="0"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 положить в «почтовый бокс» для корреспонденции в филиале кадастровой палаты;</w:t>
      </w:r>
    </w:p>
    <w:p>
      <w:pPr>
        <w:spacing w:after="0" w:line="276" w:lineRule="auto"/>
        <w:ind w:firstLine="708"/>
        <w:jc w:val="both"/>
        <w:rPr>
          <w:rFonts w:ascii="Segoe UI" w:hAnsi="Segoe UI" w:cs="Segoe UI"/>
          <w:sz w:val="24"/>
          <w:szCs w:val="24"/>
        </w:rPr>
      </w:pPr>
      <w:r>
        <w:rPr>
          <w:rFonts w:ascii="Segoe UI" w:hAnsi="Segoe UI" w:cs="Segoe UI"/>
          <w:sz w:val="24"/>
          <w:szCs w:val="24"/>
        </w:rPr>
        <w:t>- подать заявление через МФЦ.</w:t>
      </w:r>
    </w:p>
    <w:p>
      <w:pPr>
        <w:spacing w:after="0"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В заявлении о возврате платежа указываются: уникальный идентификатор начисления (указывается при наличии), банковские реквизиты, необходимые для возврата платежа лицу, подавшему такое заявление, а также фамилия, имя, отчество (последнее - при наличии), СНИЛС или реквизиты документа, удостоверяющего личность, - для физического лица, наименование юридического лица, идентификационный номер налогоплательщика (ИНН), код причины постановки на учет (КПП), код иностранной организации (КИО) (для иностранной организации), основной государственный регистрационный номер (ОГРН), лицевой или банковский счет, наименование банка получателя, банковский идентификационный код (БИК), корреспондентский счет банка - для юридического лица, реквизиты документа, подтверждающего перечисление платежа (дата, номер), размер внесенной платы, сведения о плательщике (для физического лица - фамилия, имя, отчество (последнее - при наличии), СНИЛС, для юридического лица - наименование, ОГРН, ИНН или КПП, КИО), а также почтовый адрес или адрес электронной почты заявителя.</w:t>
      </w:r>
    </w:p>
    <w:p>
      <w:pPr>
        <w:spacing w:after="0" w:line="276" w:lineRule="auto"/>
        <w:ind w:firstLine="708"/>
        <w:jc w:val="both"/>
        <w:rPr>
          <w:rFonts w:ascii="Segoe UI" w:hAnsi="Segoe UI" w:cs="Segoe UI"/>
          <w:sz w:val="24"/>
          <w:szCs w:val="24"/>
        </w:rPr>
      </w:pPr>
      <w:r>
        <w:rPr>
          <w:rFonts w:ascii="Segoe UI" w:hAnsi="Segoe UI" w:cs="Segoe UI"/>
          <w:sz w:val="24"/>
          <w:szCs w:val="24"/>
        </w:rPr>
        <w:t>Если заявление о возврате платежа подается в электронном виде, оно подписывается усиленной квалифицированной электронной подписью заявителя.</w:t>
      </w:r>
    </w:p>
    <w:p>
      <w:pPr>
        <w:spacing w:after="0" w:line="276" w:lineRule="auto"/>
        <w:ind w:firstLine="708"/>
        <w:jc w:val="both"/>
        <w:rPr>
          <w:rFonts w:ascii="Segoe UI" w:hAnsi="Segoe UI" w:cs="Segoe UI"/>
          <w:sz w:val="24"/>
          <w:szCs w:val="24"/>
        </w:rPr>
      </w:pPr>
      <w:r>
        <w:rPr>
          <w:rFonts w:ascii="Segoe UI" w:hAnsi="Segoe UI" w:cs="Segoe UI"/>
          <w:sz w:val="24"/>
          <w:szCs w:val="24"/>
        </w:rPr>
        <w:lastRenderedPageBreak/>
        <w:t xml:space="preserve">- </w:t>
      </w:r>
      <w:r>
        <w:rPr>
          <w:rFonts w:ascii="Segoe UI" w:hAnsi="Segoe UI" w:cs="Segoe UI"/>
          <w:i/>
          <w:sz w:val="24"/>
          <w:szCs w:val="24"/>
        </w:rPr>
        <w:t>Случается, что в ЕГРН отсутствуют запрашиваемые заявителем сведения. Тогда вместо выписки ему выдается эта информация, и услуга считается оказанной. Плата по таким заявлениям не может быть возвращена</w:t>
      </w:r>
      <w:r>
        <w:rPr>
          <w:rFonts w:ascii="Segoe UI" w:hAnsi="Segoe UI" w:cs="Segoe UI"/>
          <w:sz w:val="24"/>
          <w:szCs w:val="24"/>
        </w:rPr>
        <w:t xml:space="preserve">, - обратила внимание Ольга Короткова. </w:t>
      </w:r>
    </w:p>
    <w:p>
      <w:pPr>
        <w:spacing w:after="0" w:line="276" w:lineRule="auto"/>
        <w:ind w:firstLine="708"/>
        <w:jc w:val="both"/>
        <w:rPr>
          <w:rFonts w:ascii="Times New Roman" w:hAnsi="Times New Roman" w:cs="Times New Roman"/>
          <w:sz w:val="28"/>
          <w:szCs w:val="28"/>
        </w:rPr>
      </w:pPr>
    </w:p>
    <w:p>
      <w:pPr>
        <w:spacing w:after="0" w:line="276" w:lineRule="auto"/>
        <w:ind w:firstLine="708"/>
        <w:jc w:val="both"/>
        <w:rPr>
          <w:rFonts w:ascii="Times New Roman" w:hAnsi="Times New Roman" w:cs="Times New Roman"/>
          <w:sz w:val="28"/>
          <w:szCs w:val="28"/>
        </w:rPr>
      </w:pPr>
    </w:p>
    <w:p>
      <w:pPr>
        <w:suppressAutoHyphens/>
        <w:autoSpaceDE w:val="0"/>
        <w:autoSpaceDN w:val="0"/>
        <w:adjustRightInd w:val="0"/>
        <w:spacing w:before="240"/>
        <w:jc w:val="both"/>
        <w:rPr>
          <w:rFonts w:ascii="Segoe UI" w:hAnsi="Segoe UI" w:cs="Segoe UI"/>
          <w:sz w:val="18"/>
          <w:szCs w:val="18"/>
        </w:rPr>
      </w:pPr>
      <w:r>
        <w:rPr>
          <w:noProof/>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-93345</wp:posOffset>
                </wp:positionH>
                <wp:positionV relativeFrom="paragraph">
                  <wp:posOffset>111124</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pPr>
        <w:jc w:val="both"/>
        <w:rPr>
          <w:rFonts w:ascii="Segoe UI" w:hAnsi="Segoe UI" w:cs="Segoe UI"/>
          <w:b/>
          <w:noProof/>
          <w:lang w:eastAsia="sk-SK"/>
        </w:rPr>
      </w:pPr>
      <w:r>
        <w:rPr>
          <w:rFonts w:ascii="Segoe UI" w:hAnsi="Segoe UI" w:cs="Segoe UI"/>
          <w:b/>
          <w:noProof/>
          <w:lang w:eastAsia="sk-SK"/>
        </w:rPr>
        <w:t>Контакты для СМИ:</w:t>
      </w:r>
    </w:p>
    <w:p>
      <w:pPr>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ind w:firstLine="708"/>
        <w:jc w:val="both"/>
        <w:rPr>
          <w:rFonts w:ascii="Times New Roman" w:hAnsi="Times New Roman" w:cs="Times New Roman"/>
          <w:sz w:val="28"/>
          <w:szCs w:val="28"/>
        </w:rPr>
      </w:pPr>
      <w:r>
        <w:rPr>
          <w:rFonts w:ascii="Segoe UI" w:hAnsi="Segoe UI" w:cs="Segoe UI"/>
        </w:rPr>
        <w:t xml:space="preserve">(846) 33-22-555,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r>
        <w:rPr>
          <w:rFonts w:ascii="Times New Roman" w:hAnsi="Times New Roman" w:cs="Times New Roman"/>
          <w:sz w:val="28"/>
          <w:szCs w:val="28"/>
        </w:rPr>
        <w:t xml:space="preserve">                           </w:t>
      </w:r>
    </w:p>
    <w:p>
      <w:pPr>
        <w:spacing w:after="0" w:line="240" w:lineRule="auto"/>
        <w:ind w:firstLine="708"/>
        <w:jc w:val="both"/>
        <w:rPr>
          <w:rFonts w:ascii="Times New Roman" w:hAnsi="Times New Roman" w:cs="Times New Roman"/>
          <w:sz w:val="28"/>
          <w:szCs w:val="28"/>
        </w:rPr>
      </w:pPr>
    </w:p>
    <w:p>
      <w:pPr>
        <w:spacing w:after="0" w:line="240" w:lineRule="auto"/>
        <w:ind w:firstLine="708"/>
        <w:jc w:val="both"/>
        <w:rPr>
          <w:rFonts w:ascii="Times New Roman" w:hAnsi="Times New Roman" w:cs="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74BA5-FCCE-434E-B893-D8990D71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Короткова Ольга Федоровна</dc:creator>
  <cp:keywords/>
  <dc:description/>
  <cp:lastModifiedBy>Никитина Ольга Александровна</cp:lastModifiedBy>
  <cp:revision>34</cp:revision>
  <cp:lastPrinted>2020-10-22T07:41:00Z</cp:lastPrinted>
  <dcterms:created xsi:type="dcterms:W3CDTF">2020-10-29T11:31:00Z</dcterms:created>
  <dcterms:modified xsi:type="dcterms:W3CDTF">2020-11-09T05:10:00Z</dcterms:modified>
</cp:coreProperties>
</file>